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eastAsia="Times New Roman" w:cs="Calibri"/>
          <w:sz w:val="20"/>
          <w:szCs w:val="20"/>
          <w:lang w:eastAsia="ru-RU"/>
        </w:rPr>
      </w:pPr>
      <w:r>
        <w:rPr>
          <w:rFonts w:eastAsia="Times New Roman" w:cs="Calibri"/>
          <w:sz w:val="20"/>
          <w:szCs w:val="20"/>
          <w:lang w:eastAsia="ru-RU"/>
        </w:rPr>
      </w:r>
      <w:r>
        <w:rPr>
          <w:rFonts w:eastAsia="Times New Roman" w:cs="Calibri"/>
          <w:sz w:val="20"/>
          <w:szCs w:val="20"/>
          <w:lang w:eastAsia="ru-RU"/>
        </w:rPr>
      </w:r>
      <w:r>
        <w:rPr>
          <w:rFonts w:eastAsia="Times New Roman" w:cs="Calibri"/>
          <w:sz w:val="20"/>
          <w:szCs w:val="20"/>
          <w:lang w:eastAsia="ru-RU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филиала ПАО «Россети Юг» – «Волгоградэнерго» 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jc w:val="center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за 2025 год.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br w:type="page" w:clear="all"/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Общая информация о сетевой организации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Количество потребителей услуг сетевой организации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2025 году было осуществлено </w:t>
      </w:r>
      <w:r>
        <w:rPr>
          <w:rFonts w:ascii="Times New Roman" w:hAnsi="Times New Roman"/>
        </w:rPr>
        <w:t xml:space="preserve">1 907 </w:t>
      </w:r>
      <w:r>
        <w:rPr>
          <w:rFonts w:ascii="Times New Roman" w:hAnsi="Times New Roman"/>
        </w:rPr>
        <w:t xml:space="preserve">технологических присоединений заявителей: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1-й категории надежности </w:t>
      </w:r>
      <w:r>
        <w:rPr>
          <w:rFonts w:ascii="Times New Roman" w:hAnsi="Times New Roman"/>
        </w:rPr>
        <w:t xml:space="preserve">– 1</w:t>
      </w:r>
      <w:r>
        <w:rPr>
          <w:rFonts w:ascii="Times New Roman" w:hAnsi="Times New Roman"/>
        </w:rPr>
        <w:t xml:space="preserve"> шт.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2-й категории надежности – 2</w:t>
      </w:r>
      <w:r>
        <w:rPr>
          <w:rFonts w:ascii="Times New Roman" w:hAnsi="Times New Roman"/>
        </w:rPr>
        <w:t xml:space="preserve">2 шт.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3-й категории надежности – 1 884</w:t>
      </w:r>
      <w:r>
        <w:rPr>
          <w:rFonts w:ascii="Times New Roman" w:hAnsi="Times New Roman"/>
        </w:rPr>
        <w:t xml:space="preserve"> шт.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4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77"/>
        <w:gridCol w:w="3118"/>
        <w:gridCol w:w="3969"/>
      </w:tblGrid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Уровень 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в 2024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в 2025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6-10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20- 35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 –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contextualSpacing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4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77"/>
        <w:gridCol w:w="3118"/>
        <w:gridCol w:w="3969"/>
      </w:tblGrid>
      <w:tr>
        <w:tblPrEx/>
        <w:trPr>
          <w:trHeight w:val="730"/>
        </w:trPr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Тип потребителей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   в 2024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   в 2025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Физические лица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1531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Юридические лица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714"/>
        <w:ind w:left="1080"/>
        <w:jc w:val="both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4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1999"/>
        <w:gridCol w:w="3954"/>
      </w:tblGrid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Потребители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точек поставки 2024 г. (шт.)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54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точек поставки 2025 г. (шт.)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3"/>
        </w:trPr>
        <w:tc>
          <w:tcPr>
            <w:tcW w:w="411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270608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291716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267491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284247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63354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73524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Юридические лица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33224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33429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32636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32712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8509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10354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Ввода в многоквартирные дома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2496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2564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2144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2245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338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338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234888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240654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232711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238188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4111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54507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textDirection w:val="lrTb"/>
            <w:noWrap w:val="false"/>
          </w:tcPr>
          <w:p>
            <w:pPr>
              <w:pStyle w:val="692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56372</w:t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  <w:r>
              <w:rPr>
                <w:rFonts w:ascii="Times New Roman" w:hAnsi="Times New Roman"/>
                <w:color w:val="000000"/>
                <w:highlight w:val="white"/>
              </w:rPr>
            </w:r>
          </w:p>
        </w:tc>
      </w:tr>
    </w:tbl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  <w:br w:type="page" w:clear="all"/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714"/>
        <w:numPr>
          <w:ilvl w:val="2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365f91"/>
        </w:rPr>
        <w:t xml:space="preserve">Протяженность ЛЭП филиала ПАО «Россети Юг» - «Волгоградэнерго»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615"/>
        <w:gridCol w:w="1090"/>
        <w:gridCol w:w="1687"/>
        <w:gridCol w:w="1596"/>
        <w:gridCol w:w="998"/>
        <w:gridCol w:w="1658"/>
        <w:gridCol w:w="1559"/>
      </w:tblGrid>
      <w:tr>
        <w:tblPrEx/>
        <w:trPr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8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Значение показателя, годы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>
          <w:trHeight w:val="1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37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202</w:t>
            </w:r>
            <w:r>
              <w:rPr>
                <w:rFonts w:ascii="Times New Roman" w:hAnsi="Times New Roman"/>
                <w:b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202</w:t>
            </w:r>
            <w:r>
              <w:rPr>
                <w:rFonts w:ascii="Times New Roman" w:hAnsi="Times New Roman"/>
                <w:b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  <w:tr>
        <w:tblPrEx/>
        <w:trPr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Кол-во (шт)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Протяженность по трассе (км)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Протяженность по цепям (км)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Кол-во (шт)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Протяженность по трассе (км)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Протяженность по цепям (км)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0.4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17 365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14 058,64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14 058,64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17 372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14 108,45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14 108,45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6-20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1 432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22 095,02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22 098,87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1 393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22 184,87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22 188,72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2 786,17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2 967,54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2 786,20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2 967,56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260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5 894,10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7 183,93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260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5 894,10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7 183,93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ВЛ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19 207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44 974,93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46 449,98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19 175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45 114,62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46 589,66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 0.4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1 141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180,80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180,80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1 153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182,25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182,25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 6-20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531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302,54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302,54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527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336,47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336,47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0,08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0,08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0,08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0,08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КЛ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1 673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483,42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483,42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1 681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518,80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518,80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0.4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18 506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14 239,44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14 239,44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18 525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14 290,70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14 290,70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6-20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1 963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22 397,56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22 401,41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1 920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22 521,34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22 525,19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2 786,17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2 967,54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2 786,20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2 967,56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261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5 894,18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7 184,01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261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5 894,18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7 184,01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141,00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686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ЛЭП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20 880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7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45 458,35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46 933,40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top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20 856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45 633,42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47 108,46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</w:tbl>
    <w:p>
      <w:pPr>
        <w:pStyle w:val="714"/>
        <w:ind w:left="1080"/>
        <w:jc w:val="right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numPr>
          <w:ilvl w:val="2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Количество и мощность подстанций филиала ПАО «Россети Юг» - «Волгоградэнерго».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701"/>
        <w:gridCol w:w="1559"/>
        <w:gridCol w:w="2126"/>
      </w:tblGrid>
      <w:tr>
        <w:tblPrEx/>
        <w:trPr>
          <w:trHeight w:val="339"/>
        </w:trPr>
        <w:tc>
          <w:tcPr>
            <w:tcW w:w="2977" w:type="dxa"/>
            <w:vMerge w:val="restart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202</w:t>
            </w:r>
            <w:r>
              <w:rPr>
                <w:rFonts w:ascii="Times New Roman" w:hAnsi="Times New Roman"/>
                <w:b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3685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202</w:t>
            </w:r>
            <w:r>
              <w:rPr>
                <w:rFonts w:ascii="Times New Roman" w:hAnsi="Times New Roman"/>
                <w:b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  <w:tr>
        <w:tblPrEx/>
        <w:trPr>
          <w:trHeight w:val="311"/>
        </w:trPr>
        <w:tc>
          <w:tcPr>
            <w:tcW w:w="2977" w:type="dxa"/>
            <w:vMerge w:val="continue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Количество (шт.)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МВА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Количество (шт.)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714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МВА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  <w:tr>
        <w:tblPrEx/>
        <w:trPr>
          <w:trHeight w:val="339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133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787,48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133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781,88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339"/>
        </w:trPr>
        <w:tc>
          <w:tcPr>
            <w:tcW w:w="2977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261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5 752,9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261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5 748,90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339"/>
        </w:trPr>
        <w:tc>
          <w:tcPr>
            <w:tcW w:w="2977" w:type="dxa"/>
            <w:textDirection w:val="lrTb"/>
            <w:noWrap w:val="false"/>
          </w:tcPr>
          <w:p>
            <w:pPr>
              <w:pStyle w:val="714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126,0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126,0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199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и мощность ТП, РП 6-10/0,38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10 315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1 905,42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10 426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  <w:lang w:eastAsia="ru-RU"/>
              </w:rPr>
              <w:t xml:space="preserve">1 926,10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339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  <w:lang w:eastAsia="ru-RU"/>
              </w:rPr>
              <w:t xml:space="preserve">10 711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  <w:lang w:eastAsia="ru-RU"/>
              </w:rPr>
              <w:t xml:space="preserve">8 571,80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  <w:lang w:eastAsia="ru-RU"/>
              </w:rPr>
              <w:t xml:space="preserve">10 822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  <w:lang w:eastAsia="ru-RU"/>
              </w:rPr>
              <w:t xml:space="preserve">8 582,88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Уровень физического износа объектов электросетевого хозяйства сетевой организации </w:t>
      </w:r>
      <w:r>
        <w:rPr>
          <w:rFonts w:ascii="Times New Roman" w:hAnsi="Times New Roman"/>
        </w:rPr>
        <w:t xml:space="preserve">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нормативному сроку службы объектов.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4757"/>
        <w:gridCol w:w="2215"/>
        <w:gridCol w:w="2950"/>
      </w:tblGrid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3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Трансформаторное оборудование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87,98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87,06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Коммутационные аппараты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74,06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74,19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Общий износ по оборудованию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78,31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78,13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ВЛ 35-220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93,50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93,50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ВЛ 0,4-20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86,44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88,26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КЛ 35-220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КЛ 0,4-20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19,95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20,07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Общий износ по линиям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87,31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auto"/>
                <w:highlight w:val="white"/>
              </w:rPr>
            </w:pPr>
            <w:r>
              <w:rPr>
                <w:rFonts w:ascii="Times New Roman" w:hAnsi="Times New Roman" w:eastAsia="Times New Roman"/>
                <w:color w:val="auto"/>
                <w:highlight w:val="white"/>
                <w:lang w:eastAsia="ru-RU"/>
              </w:rPr>
              <w:t xml:space="preserve">88,65</w:t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  <w:r>
              <w:rPr>
                <w:rFonts w:ascii="Times New Roman" w:hAnsi="Times New Roman" w:eastAsia="Times New Roman"/>
                <w:color w:val="auto"/>
                <w:highlight w:val="white"/>
              </w:rPr>
            </w:r>
          </w:p>
        </w:tc>
      </w:tr>
    </w:tbl>
    <w:p>
      <w:pPr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br w:type="page" w:clear="all"/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Показатели качества услуг по передаче электрической энергии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97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5528"/>
        <w:gridCol w:w="1134"/>
        <w:gridCol w:w="993"/>
        <w:gridCol w:w="1293"/>
      </w:tblGrid>
      <w:tr>
        <w:tblPrEx/>
        <w:trPr>
          <w:trHeight w:val="31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71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2024 г.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2025 г.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продолжительности прекращений передачи электрической энергии (Пsaidi)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3,4945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3,4091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-2,44%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частоты прекращений передачи электрической энергии (Пsaifi)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2,0368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1,8812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-7,64%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144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9,1159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9,5176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4,41%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28" w:type="dxa"/>
            <w:vAlign w:val="bottom"/>
            <w:textDirection w:val="lrTb"/>
            <w:noWrap/>
          </w:tcPr>
          <w:tbl>
            <w:tblPr>
              <w:tblW w:w="59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>
              <w:tblPrEx/>
              <w:trPr>
                <w:tblCellSpacing w:w="0" w:type="dxa"/>
                <w:trHeight w:val="87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00" w:type="dxa"/>
                  <w:vAlign w:val="center"/>
                  <w:textDirection w:val="lrTb"/>
                  <w:noWrap w:val="false"/>
                </w:tcPr>
                <w:p>
                  <w:pPr>
                    <w:ind w:right="585"/>
                    <w:jc w:val="right"/>
                    <w:spacing w:after="0" w:line="240" w:lineRule="auto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ascii="Times New Roman" w:hAnsi="Times New Roman" w:eastAsia="Times New Roman"/>
                      <w:lang w:eastAsia="ru-RU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/>
                    </w:rPr>
                  </w:r>
                  <w:r>
                    <w:rPr>
                      <w:rFonts w:ascii="Times New Roman" w:hAnsi="Times New Roman" w:eastAsia="Times New Roman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93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2,3622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2,3726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0,44%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28" w:type="dxa"/>
            <w:vAlign w:val="bottom"/>
            <w:textDirection w:val="lrTb"/>
            <w:noWrap/>
          </w:tcPr>
          <w:tbl>
            <w:tblPr>
              <w:tblW w:w="59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>
              <w:tblPrEx/>
              <w:trPr>
                <w:tblCellSpacing w:w="0" w:type="dxa"/>
                <w:trHeight w:val="31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00" w:type="dxa"/>
                  <w:vAlign w:val="center"/>
                  <w:textDirection w:val="lrTb"/>
                  <w:noWrap w:val="false"/>
                </w:tcPr>
                <w:p>
                  <w:pPr>
                    <w:ind w:right="585"/>
                    <w:jc w:val="right"/>
                    <w:spacing w:after="0" w:line="240" w:lineRule="auto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ascii="Times New Roman" w:hAnsi="Times New Roman" w:eastAsia="Times New Roman"/>
                      <w:lang w:eastAsia="ru-RU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/>
                    </w:rPr>
                  </w:r>
                  <w:r>
                    <w:rPr>
                      <w:rFonts w:ascii="Times New Roman" w:hAnsi="Times New Roman" w:eastAsia="Times New Roman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3a56e6"/>
              </w:rPr>
            </w:pPr>
            <w:r>
              <w:rPr>
                <w:rFonts w:ascii="Times New Roman" w:hAnsi="Times New Roman"/>
                <w:color w:val="3a56e6"/>
              </w:rPr>
              <w:t xml:space="preserve">-</w:t>
            </w:r>
            <w:r>
              <w:rPr>
                <w:rFonts w:ascii="Times New Roman" w:hAnsi="Times New Roman"/>
                <w:color w:val="3a56e6"/>
              </w:rPr>
            </w:r>
            <w:r>
              <w:rPr>
                <w:rFonts w:ascii="Times New Roman" w:hAnsi="Times New Roman"/>
                <w:color w:val="3a56e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3a56e6"/>
              </w:rPr>
            </w:pPr>
            <w:r>
              <w:rPr>
                <w:rFonts w:ascii="Times New Roman" w:hAnsi="Times New Roman"/>
                <w:color w:val="3a56e6"/>
              </w:rPr>
              <w:t xml:space="preserve">-</w:t>
            </w:r>
            <w:r>
              <w:rPr>
                <w:rFonts w:ascii="Times New Roman" w:hAnsi="Times New Roman"/>
                <w:color w:val="3a56e6"/>
              </w:rPr>
            </w:r>
            <w:r>
              <w:rPr>
                <w:rFonts w:ascii="Times New Roman" w:hAnsi="Times New Roman"/>
                <w:color w:val="3a56e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3a56e6"/>
              </w:rPr>
            </w:pPr>
            <w:r>
              <w:rPr>
                <w:rFonts w:ascii="Times New Roman" w:hAnsi="Times New Roman"/>
                <w:color w:val="3a56e6"/>
              </w:rPr>
              <w:t xml:space="preserve">-</w:t>
            </w:r>
            <w:r>
              <w:rPr>
                <w:rFonts w:ascii="Times New Roman" w:hAnsi="Times New Roman"/>
                <w:color w:val="3a56e6"/>
              </w:rPr>
            </w:r>
            <w:r>
              <w:rPr>
                <w:rFonts w:ascii="Times New Roman" w:hAnsi="Times New Roman"/>
                <w:color w:val="3a56e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3a56e6"/>
              </w:rPr>
            </w:pPr>
            <w:r>
              <w:rPr>
                <w:rFonts w:ascii="Times New Roman" w:hAnsi="Times New Roman"/>
                <w:color w:val="3a56e6"/>
              </w:rPr>
              <w:t xml:space="preserve">-</w:t>
            </w:r>
            <w:r>
              <w:rPr>
                <w:rFonts w:ascii="Times New Roman" w:hAnsi="Times New Roman"/>
                <w:color w:val="3a56e6"/>
              </w:rPr>
            </w:r>
            <w:r>
              <w:rPr>
                <w:rFonts w:ascii="Times New Roman" w:hAnsi="Times New Roman"/>
                <w:color w:val="3a56e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3a56e6"/>
              </w:rPr>
            </w:pPr>
            <w:r>
              <w:rPr>
                <w:rFonts w:ascii="Times New Roman" w:hAnsi="Times New Roman"/>
                <w:color w:val="3a56e6"/>
              </w:rPr>
              <w:t xml:space="preserve">-</w:t>
            </w:r>
            <w:r>
              <w:rPr>
                <w:rFonts w:ascii="Times New Roman" w:hAnsi="Times New Roman"/>
                <w:color w:val="3a56e6"/>
              </w:rPr>
            </w:r>
            <w:r>
              <w:rPr>
                <w:rFonts w:ascii="Times New Roman" w:hAnsi="Times New Roman"/>
                <w:color w:val="3a56e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3a56e6"/>
              </w:rPr>
            </w:pPr>
            <w:r>
              <w:rPr>
                <w:rFonts w:ascii="Times New Roman" w:hAnsi="Times New Roman"/>
                <w:color w:val="3a56e6"/>
              </w:rPr>
              <w:t xml:space="preserve">-</w:t>
            </w:r>
            <w:r>
              <w:rPr>
                <w:rFonts w:ascii="Times New Roman" w:hAnsi="Times New Roman"/>
                <w:color w:val="3a56e6"/>
              </w:rPr>
            </w:r>
            <w:r>
              <w:rPr>
                <w:rFonts w:ascii="Times New Roman" w:hAnsi="Times New Roman"/>
                <w:color w:val="3a56e6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2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2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  <w:sectPr>
          <w:footnotePr/>
          <w:endnotePr/>
          <w:type w:val="nextPage"/>
          <w:pgSz w:w="11906" w:h="16838" w:orient="portrait"/>
          <w:pgMar w:top="851" w:right="851" w:bottom="851" w:left="85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Рейтинг структурных единиц сетевой организации </w:t>
      </w:r>
      <w:r>
        <w:rPr>
          <w:rFonts w:ascii="Times New Roman" w:hAnsi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15543" w:type="dxa"/>
        <w:jc w:val="center"/>
        <w:tblLook w:val="04A0" w:firstRow="1" w:lastRow="0" w:firstColumn="1" w:lastColumn="0" w:noHBand="0" w:noVBand="1"/>
      </w:tblPr>
      <w:tblGrid>
        <w:gridCol w:w="375"/>
        <w:gridCol w:w="1993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48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/>
                <w:lang w:eastAsia="ru-RU"/>
              </w:rPr>
              <w:br/>
              <w:t xml:space="preserve">Пsaidi 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/>
                <w:lang w:eastAsia="ru-RU"/>
              </w:rPr>
              <w:br/>
              <w:t xml:space="preserve">Пsaifi 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/>
                <w:lang w:eastAsia="ru-RU"/>
              </w:rPr>
              <w:br/>
              <w:t xml:space="preserve">Пsaidi,рем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/>
                <w:lang w:eastAsia="ru-RU"/>
              </w:rPr>
              <w:br/>
              <w:t xml:space="preserve">Пsaifi,рем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Филиал "Волгоградэнерго"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3,4091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1,8812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9,5176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2,3726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5"/>
        </w:numPr>
        <w:jc w:val="both"/>
        <w:spacing w:after="0"/>
        <w:rPr>
          <w:rFonts w:ascii="Times New Roman" w:hAnsi="Times New Roman"/>
          <w:b/>
          <w:color w:val="365f91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ind w:left="709" w:hanging="349"/>
        <w:jc w:val="both"/>
        <w:spacing w:after="0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выполненные сетевой организацией </w:t>
      </w:r>
      <w:r>
        <w:rPr>
          <w:rFonts w:ascii="Times New Roman" w:hAnsi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</w:rPr>
        <w:t xml:space="preserve">В целях повышения надежности работы оборудования, в соответствии с утвержденной Программой технического обслуживания и ремонтов в 2025 году проведена целенаправленная работа по об</w:t>
      </w:r>
      <w:r>
        <w:rPr>
          <w:rFonts w:ascii="Times New Roman" w:hAnsi="Times New Roman"/>
          <w:highlight w:val="white"/>
        </w:rPr>
        <w:t xml:space="preserve">еспечению надежного электроснабжения потребителей, в частности: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расчистка трасс на ВЛ 0,4-110 кВ – </w:t>
      </w:r>
      <w:r>
        <w:rPr>
          <w:rFonts w:ascii="Times New Roman" w:hAnsi="Times New Roman"/>
          <w:highlight w:val="white"/>
        </w:rPr>
        <w:t xml:space="preserve">296,39</w:t>
      </w:r>
      <w:r>
        <w:rPr>
          <w:rFonts w:ascii="Times New Roman" w:hAnsi="Times New Roman"/>
          <w:highlight w:val="white"/>
        </w:rPr>
        <w:t xml:space="preserve"> га;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замена изоляторов на ВЛ 0,4-110 кВ – </w:t>
      </w:r>
      <w:r>
        <w:rPr>
          <w:rFonts w:ascii="Times New Roman" w:hAnsi="Times New Roman"/>
          <w:highlight w:val="white"/>
        </w:rPr>
        <w:t xml:space="preserve">19 570 </w:t>
      </w:r>
      <w:r>
        <w:rPr>
          <w:rFonts w:ascii="Times New Roman" w:hAnsi="Times New Roman"/>
          <w:highlight w:val="white"/>
        </w:rPr>
        <w:t xml:space="preserve">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замена провода на ВЛ 0,4-110 кВ – </w:t>
      </w:r>
      <w:r>
        <w:rPr>
          <w:rFonts w:ascii="Times New Roman" w:hAnsi="Times New Roman"/>
          <w:highlight w:val="white"/>
        </w:rPr>
        <w:t xml:space="preserve">93,63</w:t>
      </w:r>
      <w:r>
        <w:rPr>
          <w:rFonts w:ascii="Times New Roman" w:hAnsi="Times New Roman"/>
          <w:highlight w:val="white"/>
        </w:rPr>
        <w:t xml:space="preserve"> км;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замена опор на ВЛ 0,4-110 кВ – </w:t>
      </w:r>
      <w:r>
        <w:rPr>
          <w:rFonts w:ascii="Times New Roman" w:hAnsi="Times New Roman"/>
          <w:highlight w:val="white"/>
        </w:rPr>
        <w:t xml:space="preserve">2 025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ремонт автотрансформаторов /трансформаторов </w:t>
      </w:r>
      <w:r>
        <w:rPr>
          <w:rFonts w:ascii="Times New Roman" w:hAnsi="Times New Roman"/>
          <w:highlight w:val="white"/>
        </w:rPr>
        <w:t xml:space="preserve">35-</w:t>
      </w:r>
      <w:r>
        <w:rPr>
          <w:rFonts w:ascii="Times New Roman" w:hAnsi="Times New Roman"/>
          <w:highlight w:val="white"/>
        </w:rPr>
        <w:t xml:space="preserve">110 кВ – </w:t>
      </w:r>
      <w:r>
        <w:rPr>
          <w:rFonts w:ascii="Times New Roman" w:hAnsi="Times New Roman"/>
          <w:highlight w:val="white"/>
        </w:rPr>
        <w:t xml:space="preserve">18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замена вводов 110 кВ – </w:t>
      </w:r>
      <w:r>
        <w:rPr>
          <w:rFonts w:ascii="Times New Roman" w:hAnsi="Times New Roman"/>
          <w:highlight w:val="white"/>
        </w:rPr>
        <w:t xml:space="preserve">18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ремонт выключателей 6-110 кВ – </w:t>
      </w:r>
      <w:r>
        <w:rPr>
          <w:rFonts w:ascii="Times New Roman" w:hAnsi="Times New Roman"/>
          <w:highlight w:val="white"/>
        </w:rPr>
        <w:t xml:space="preserve">523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ремонт разъединителей 6-110 кВ – </w:t>
      </w:r>
      <w:r>
        <w:rPr>
          <w:rFonts w:ascii="Times New Roman" w:hAnsi="Times New Roman"/>
          <w:highlight w:val="white"/>
        </w:rPr>
        <w:t xml:space="preserve">816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замена ИОС разъединителей, ОДиКЗ и шинных опор 35-110 кВ – </w:t>
      </w:r>
      <w:r>
        <w:rPr>
          <w:rFonts w:ascii="Times New Roman" w:hAnsi="Times New Roman"/>
          <w:highlight w:val="white"/>
        </w:rPr>
        <w:t xml:space="preserve">117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ремонт отделителей, короткозамыкателей 35-110 кВ – </w:t>
      </w:r>
      <w:r>
        <w:rPr>
          <w:rFonts w:ascii="Times New Roman" w:hAnsi="Times New Roman"/>
          <w:highlight w:val="white"/>
        </w:rPr>
        <w:t xml:space="preserve">289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ремонт ТП (ЗТП, КТП, РП) – </w:t>
      </w:r>
      <w:r>
        <w:rPr>
          <w:rFonts w:ascii="Times New Roman" w:hAnsi="Times New Roman"/>
          <w:highlight w:val="white"/>
        </w:rPr>
        <w:t xml:space="preserve">796</w:t>
      </w:r>
      <w:r>
        <w:rPr>
          <w:rFonts w:ascii="Times New Roman" w:hAnsi="Times New Roman"/>
          <w:highlight w:val="white"/>
        </w:rPr>
        <w:t xml:space="preserve"> шт.;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ремонт трансформаторов ТП ЗТП, КТП – </w:t>
      </w:r>
      <w:r>
        <w:rPr>
          <w:rFonts w:ascii="Times New Roman" w:hAnsi="Times New Roman"/>
          <w:highlight w:val="white"/>
        </w:rPr>
        <w:t xml:space="preserve">70 </w:t>
      </w:r>
      <w:r>
        <w:rPr>
          <w:rFonts w:ascii="Times New Roman" w:hAnsi="Times New Roman"/>
          <w:highlight w:val="white"/>
        </w:rPr>
        <w:t xml:space="preserve">шт.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0" w:right="0" w:firstLine="567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Все намеченные мероприятия выполнены в полном объеме. Выполнение мероприятий позволило достигнуть в 2025 году установленного Комитетом тарифного регулирования уровня надежности оказываемых услуг – выполнены показатели надежности Пsaidi / Пsaifi.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jc w:val="both"/>
        <w:spacing w:after="0"/>
      </w:pPr>
      <w:r/>
      <w:r/>
    </w:p>
    <w:p>
      <w:pPr>
        <w:pStyle w:val="714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Информация о наличии невостребованной мощности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3.1. приложение №1.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numPr>
          <w:ilvl w:val="1"/>
          <w:numId w:val="1"/>
        </w:numPr>
        <w:ind w:left="709" w:hanging="349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выполненные сетевой организацией </w:t>
      </w:r>
      <w:r>
        <w:rPr>
          <w:rFonts w:ascii="Times New Roman" w:hAnsi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709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целях совершенствования деятельности по технологическому присоединению в филиале ПАО «Россети Юг» - «Волгоградэнерго» на регулярной основе осуществляется взаимодействие с ПАО </w:t>
      </w:r>
      <w:r>
        <w:rPr>
          <w:rFonts w:ascii="Times New Roman" w:hAnsi="Times New Roman"/>
        </w:rPr>
        <w:t xml:space="preserve">«Волгоградэнергосбыт» и иными энергоснабжающими организациями по созданию условий для упрощения подключения заявителей к электрическим сетям. Обеспечена возможность заключения договора энергоснабжения до завершения процедуры технологического присоединения.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709" w:firstLine="70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0"/>
        <w:jc w:val="both"/>
        <w:spacing w:after="0"/>
        <w:rPr>
          <w:rFonts w:ascii="Times New Roman" w:hAnsi="Times New Roman"/>
          <w:b/>
          <w:color w:val="a6a6a6"/>
        </w:rPr>
      </w:pPr>
      <w:r>
        <w:rPr>
          <w:rFonts w:ascii="Times New Roman" w:hAnsi="Times New Roman"/>
          <w:b/>
          <w:color w:val="a6a6a6"/>
        </w:rPr>
      </w:r>
      <w:r>
        <w:rPr>
          <w:rFonts w:ascii="Times New Roman" w:hAnsi="Times New Roman"/>
          <w:b/>
          <w:color w:val="a6a6a6"/>
        </w:rPr>
      </w:r>
      <w:r>
        <w:rPr>
          <w:rFonts w:ascii="Times New Roman" w:hAnsi="Times New Roman"/>
          <w:b/>
          <w:color w:val="a6a6a6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/>
        </w:rPr>
        <w:t xml:space="preserve">к электрическим сетям сетевой организации.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 w:firstLine="336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3.4.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t xml:space="preserve">Качество обслуживания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Количество обращений, поступивших в сетевую организацию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ind w:left="372" w:firstLine="708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4.1.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Информация о деятельности офисов обслуживания </w:t>
      </w:r>
      <w:r>
        <w:rPr>
          <w:rFonts w:ascii="Times New Roman" w:hAnsi="Times New Roman"/>
        </w:rPr>
        <w:t xml:space="preserve">потребителей.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firstLine="36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4.2.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Информация о заочном обслуживании потребителей </w:t>
      </w:r>
      <w:r>
        <w:rPr>
          <w:rFonts w:ascii="Times New Roman" w:hAnsi="Times New Roman"/>
        </w:rPr>
        <w:t xml:space="preserve">посредством телефонной связи.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firstLine="360"/>
        <w:jc w:val="both"/>
        <w:spacing w:after="0"/>
        <w:rPr>
          <w:rFonts w:ascii="Times New Roman" w:hAnsi="Times New Roman"/>
          <w:b/>
          <w:bCs/>
          <w:color w:val="365f91"/>
          <w:highlight w:val="none"/>
        </w:rPr>
      </w:pPr>
      <w:r>
        <w:rPr>
          <w:rFonts w:ascii="Times New Roman" w:hAnsi="Times New Roman"/>
        </w:rPr>
        <w:t xml:space="preserve">Таблица 4.3.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bCs/>
          <w:color w:val="365f91"/>
          <w:highlight w:val="none"/>
        </w:rPr>
      </w:r>
    </w:p>
    <w:p>
      <w:pPr>
        <w:pStyle w:val="714"/>
        <w:ind w:firstLine="360"/>
        <w:jc w:val="both"/>
        <w:spacing w:after="0"/>
        <w:rPr>
          <w:rFonts w:ascii="Times New Roman" w:hAnsi="Times New Roman"/>
          <w:b/>
          <w:bCs/>
          <w:color w:val="365f91"/>
        </w:rPr>
      </w:pPr>
      <w:r>
        <w:rPr>
          <w:rFonts w:ascii="Times New Roman" w:hAnsi="Times New Roman"/>
          <w:b/>
          <w:color w:val="365f91"/>
          <w:highlight w:val="none"/>
        </w:rPr>
      </w:r>
      <w:r>
        <w:rPr>
          <w:rFonts w:ascii="Times New Roman" w:hAnsi="Times New Roman"/>
          <w:b/>
          <w:color w:val="365f91"/>
          <w:highlight w:val="none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947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68"/>
        <w:gridCol w:w="1609"/>
        <w:gridCol w:w="1733"/>
        <w:gridCol w:w="2264"/>
      </w:tblGrid>
      <w:tr>
        <w:tblPrEx/>
        <w:trPr>
          <w:trHeight w:val="4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Филиал ПАО "Россети Юг" - "Волгоградэнерго"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3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"/>
        </w:trPr>
        <w:tc>
          <w:tcPr>
            <w:tcW w:w="386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Распределение обращений по категории обращений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48655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45322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93,15%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1759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1796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102,10%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17518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4739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27,05%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12254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10699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87,31%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3589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3369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93,87%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2149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84,94%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20,00%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139,29%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shd w:val="clear" w:color="000000" w:fill="ffffff"/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54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53,70%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4515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3406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75,44%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6"/>
        </w:trPr>
        <w:tc>
          <w:tcPr>
            <w:tcW w:w="3868" w:type="dxa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1518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112,19%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16841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27434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162,90%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из них по аварийным отключениям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3380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2668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78,93%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100,00%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643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236,40%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365f91"/>
        </w:rPr>
        <w:t xml:space="preserve">Описание дополнительных услуг</w:t>
      </w:r>
      <w:r>
        <w:rPr>
          <w:rFonts w:ascii="Times New Roman" w:hAnsi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Кроме основных видов деятельности, филиал ПАО «Россети Юг» - «Волгоградэнерго»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Филиалом на возмез</w:t>
      </w:r>
      <w:r>
        <w:rPr>
          <w:rFonts w:ascii="Times New Roman" w:hAnsi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Аренда и услуги по размещению;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Выполнение строительно-монтажных работ;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Агентские услуги;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Услуги связи и информационных технологий;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Другие услуги прочей деятельности;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Другие прочие услуги.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Филиал ПАО «Россети Юг» - «Волгоградэнерго»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«Россети Юг».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365f91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изучения мнения потребителей услуг о качестве предоставляемых услуг на регулярной основе проводится анкетирование потребителей услуг. С целью оценки удовлетворенности потребител</w:t>
      </w:r>
      <w:r>
        <w:rPr>
          <w:rFonts w:ascii="Times New Roman" w:hAnsi="Times New Roman"/>
        </w:rPr>
        <w:t xml:space="preserve">ей качеством обслуживания в 2025</w:t>
      </w:r>
      <w:r>
        <w:rPr>
          <w:rFonts w:ascii="Times New Roman" w:hAnsi="Times New Roman"/>
        </w:rPr>
        <w:t xml:space="preserve"> году собрано и проанализировано </w:t>
      </w:r>
      <w:r>
        <w:rPr>
          <w:rFonts w:ascii="Times New Roman" w:hAnsi="Times New Roman"/>
        </w:rPr>
        <w:t xml:space="preserve">61</w:t>
      </w:r>
      <w:r>
        <w:rPr>
          <w:rFonts w:ascii="Times New Roman" w:hAnsi="Times New Roman"/>
        </w:rPr>
        <w:t xml:space="preserve"> анкет</w:t>
      </w:r>
      <w:r>
        <w:rPr>
          <w:rFonts w:ascii="Times New Roman" w:hAnsi="Times New Roman"/>
        </w:rPr>
        <w:t xml:space="preserve">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640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2220"/>
        <w:gridCol w:w="1888"/>
        <w:gridCol w:w="3146"/>
      </w:tblGrid>
      <w:tr>
        <w:tblPrEx/>
        <w:trPr>
          <w:trHeight w:val="106"/>
        </w:trPr>
        <w:tc>
          <w:tcPr>
            <w:tcW w:w="2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  <w:tc>
          <w:tcPr>
            <w:tcW w:w="22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Объект исследования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  <w:tc>
          <w:tcPr>
            <w:tcW w:w="18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  <w:tc>
          <w:tcPr>
            <w:tcW w:w="31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</w:tr>
      <w:tr>
        <w:tblPrEx/>
        <w:trPr>
          <w:trHeight w:val="374"/>
        </w:trPr>
        <w:tc>
          <w:tcPr>
            <w:tcW w:w="23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2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Потребители филиала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оценка доступности энергетической инфраструктуры в рамках национального рейтинга состояния инвестиционного климата по направлению "Эффективность процедур по подключению электроэнергии"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Полученные статистические данные </w:t>
      </w:r>
      <w:r>
        <w:rPr>
          <w:rFonts w:ascii="Times New Roman" w:hAnsi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14"/>
        <w:ind w:left="1080"/>
        <w:jc w:val="both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714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выполняемые сетевой организацией </w:t>
      </w:r>
      <w:r>
        <w:rPr>
          <w:rFonts w:ascii="Times New Roman" w:hAnsi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left="1080" w:firstLine="338"/>
        <w:jc w:val="both"/>
        <w:spacing w:after="0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В 2025</w:t>
      </w:r>
      <w:r>
        <w:rPr>
          <w:rFonts w:ascii="Times New Roman" w:hAnsi="Times New Roman"/>
          <w:highlight w:val="white"/>
        </w:rPr>
        <w:t xml:space="preserve"> г. реализованы следующие мероприятия по повышению качества услуг и обслуживания: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1080" w:firstLine="338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1. </w:t>
      </w:r>
      <w:r>
        <w:rPr>
          <w:rFonts w:ascii="Times New Roman" w:hAnsi="Times New Roman"/>
          <w:highlight w:val="white"/>
        </w:rPr>
        <w:t xml:space="preserve">В</w:t>
      </w:r>
      <w:r>
        <w:rPr>
          <w:rFonts w:ascii="Times New Roman" w:hAnsi="Times New Roman"/>
          <w:highlight w:val="white"/>
        </w:rPr>
        <w:t xml:space="preserve">ыполнено расширение функциональности Портала электросетевых услуг ПАО «Россети» по обращениям и заявкам, поданным в электронной форме через Портал или Мобильное приложение «Россети – Личный кабинет»;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1080" w:firstLine="338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2. М</w:t>
      </w:r>
      <w:r>
        <w:rPr>
          <w:rFonts w:ascii="Times New Roman" w:hAnsi="Times New Roman"/>
          <w:highlight w:val="white"/>
        </w:rPr>
        <w:t xml:space="preserve">одернизировано учетно-аналитическое обеспечение процессов контроля этапов обработки жалоб в</w:t>
      </w:r>
      <w:r>
        <w:rPr>
          <w:rFonts w:ascii="Times New Roman" w:hAnsi="Times New Roman"/>
          <w:highlight w:val="white"/>
        </w:rPr>
        <w:t xml:space="preserve"> программном комплексе «КПК ТП».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1080" w:firstLine="338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3. </w:t>
      </w:r>
      <w:r>
        <w:rPr>
          <w:rFonts w:ascii="Times New Roman" w:hAnsi="Times New Roman"/>
          <w:highlight w:val="white"/>
        </w:rPr>
        <w:t xml:space="preserve">В</w:t>
      </w:r>
      <w:r>
        <w:rPr>
          <w:rFonts w:ascii="Times New Roman" w:hAnsi="Times New Roman"/>
          <w:highlight w:val="white"/>
        </w:rPr>
        <w:t xml:space="preserve">несены изменения в Положения и должностные инструкции работников в части закрепления ответственности за соблюдение сроков регистрации документов </w:t>
      </w:r>
      <w:r>
        <w:rPr>
          <w:rFonts w:ascii="Times New Roman" w:hAnsi="Times New Roman"/>
          <w:highlight w:val="white"/>
        </w:rPr>
        <w:t xml:space="preserve">о </w:t>
      </w:r>
      <w:r>
        <w:rPr>
          <w:rFonts w:ascii="Times New Roman" w:hAnsi="Times New Roman"/>
          <w:highlight w:val="white"/>
        </w:rPr>
        <w:t xml:space="preserve">технологическом присоединении.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1080" w:firstLine="338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4. </w:t>
      </w:r>
      <w:r>
        <w:rPr>
          <w:rFonts w:ascii="Times New Roman" w:hAnsi="Times New Roman"/>
          <w:highlight w:val="white"/>
        </w:rPr>
        <w:t xml:space="preserve">Р</w:t>
      </w:r>
      <w:r>
        <w:rPr>
          <w:rFonts w:ascii="Times New Roman" w:hAnsi="Times New Roman"/>
          <w:highlight w:val="white"/>
        </w:rPr>
        <w:t xml:space="preserve">еализован сервис раскрытия сведений о лицах, намеревающихся перераспределить </w:t>
      </w:r>
      <w:r>
        <w:rPr>
          <w:rFonts w:ascii="Times New Roman" w:hAnsi="Times New Roman"/>
          <w:highlight w:val="white"/>
        </w:rPr>
        <w:t xml:space="preserve">мощ</w:t>
      </w:r>
      <w:r>
        <w:rPr>
          <w:rFonts w:ascii="Times New Roman" w:hAnsi="Times New Roman"/>
          <w:highlight w:val="white"/>
        </w:rPr>
        <w:t xml:space="preserve">ность, на карте Центров питания.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1080" w:firstLine="338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5. </w:t>
      </w:r>
      <w:r>
        <w:rPr>
          <w:rFonts w:ascii="Times New Roman" w:hAnsi="Times New Roman" w:eastAsia="Times New Roman"/>
          <w:highlight w:val="white"/>
        </w:rPr>
        <w:t xml:space="preserve">Изготовлены графические макеты об услугах и сервисах, предоставляемых Обществом, в том числе в цифровом формате, выполнена полиграфическая печать. 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714"/>
        <w:ind w:left="1080" w:firstLine="338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/>
          <w:iCs/>
          <w:highlight w:val="white"/>
        </w:rPr>
        <w:t xml:space="preserve">6. </w:t>
      </w:r>
      <w:r>
        <w:rPr>
          <w:rFonts w:ascii="Times New Roman" w:hAnsi="Times New Roman"/>
          <w:iCs/>
          <w:highlight w:val="white"/>
        </w:rPr>
        <w:t xml:space="preserve">О</w:t>
      </w:r>
      <w:r>
        <w:rPr>
          <w:rFonts w:ascii="Times New Roman" w:hAnsi="Times New Roman"/>
          <w:iCs/>
          <w:highlight w:val="white"/>
        </w:rPr>
        <w:t xml:space="preserve">рганизовано внедрение сервиса «Нейросетевой агент» горячей линии энергетиков «Светлая линия 220» с целью автоматизированной обработки входящих звонков по вопросам от</w:t>
      </w:r>
      <w:r>
        <w:rPr>
          <w:rFonts w:ascii="Times New Roman" w:hAnsi="Times New Roman" w:eastAsia="Times New Roman" w:cs="Times New Roman"/>
          <w:iCs/>
          <w:highlight w:val="white"/>
        </w:rPr>
        <w:t xml:space="preserve">ключения электроэнергии</w:t>
      </w:r>
      <w:r>
        <w:rPr>
          <w:rFonts w:ascii="Times New Roman" w:hAnsi="Times New Roman" w:eastAsia="Times New Roman" w:cs="Times New Roman"/>
          <w:iCs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left="0" w:right="0" w:firstLine="1417"/>
        <w:jc w:val="both"/>
        <w:spacing w:after="0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7. </w:t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  <w:t xml:space="preserve">Обеспечен п</w:t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  <w:t xml:space="preserve">еревод трафика горячей линии на Единое интеллектуальное меню</w:t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left="567" w:right="0" w:firstLine="850"/>
        <w:jc w:val="both"/>
        <w:spacing w:after="0"/>
        <w:rPr>
          <w:rFonts w:ascii="Times New Roman" w:hAnsi="Times New Roman" w:cs="Times New Roman"/>
          <w:color w:val="000000" w:themeColor="text1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white"/>
        </w:rPr>
        <w:t xml:space="preserve">8</w:t>
      </w:r>
      <w:r>
        <w:rPr>
          <w:color w:val="000000" w:themeColor="text1"/>
          <w:highlight w:val="white"/>
        </w:rPr>
        <w:t xml:space="preserve">.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На официальном сайте компании обновлен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веб-интерфейс анкеты потребителя.</w:t>
      </w:r>
      <w:r>
        <w:rPr>
          <w:rFonts w:ascii="Times New Roman" w:hAnsi="Times New Roman" w:cs="Times New Roman"/>
          <w:color w:val="000000" w:themeColor="text1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highlight w:val="white"/>
          <w14:ligatures w14:val="none"/>
        </w:rPr>
      </w:r>
    </w:p>
    <w:p>
      <w:pPr>
        <w:ind w:left="1080" w:hanging="720"/>
        <w:rPr>
          <w:rFonts w:ascii="Times New Roman" w:hAnsi="Times New Roman"/>
          <w:b/>
          <w:color w:val="365f91"/>
        </w:rPr>
      </w:pPr>
      <w:r>
        <w:rPr>
          <w:rFonts w:ascii="Times New Roman" w:hAnsi="Times New Roman" w:eastAsia="Times New Roman"/>
          <w:b/>
          <w:bCs/>
          <w:color w:val="1f497d"/>
          <w:sz w:val="28"/>
          <w:szCs w:val="28"/>
        </w:rPr>
        <w:t xml:space="preserve">4.9. </w:t>
      </w:r>
      <w:r>
        <w:rPr>
          <w:rFonts w:ascii="Times New Roman" w:hAnsi="Times New Roman"/>
          <w:color w:val="365f91"/>
        </w:rPr>
        <w:t xml:space="preserve">Информация по обращениям потребителей.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14"/>
        <w:ind w:firstLine="36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4.9. приложение №1.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Geometria Medium">
    <w:panose1 w:val="02000603000000000000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b w:val="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2136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10"/>
  </w:num>
  <w:num w:numId="10">
    <w:abstractNumId w:val="12"/>
  </w:num>
  <w:num w:numId="11">
    <w:abstractNumId w:val="9"/>
  </w:num>
  <w:num w:numId="12">
    <w:abstractNumId w:val="3"/>
  </w:num>
  <w:num w:numId="13">
    <w:abstractNumId w:val="4"/>
  </w:num>
  <w:num w:numId="14">
    <w:abstractNumId w:val="1"/>
  </w:num>
  <w:num w:numId="15">
    <w:abstractNumId w:val="2"/>
  </w:num>
  <w:num w:numId="16">
    <w:abstractNumId w:val="13"/>
  </w:num>
  <w:num w:numId="17">
    <w:abstractNumId w:val="14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3">
    <w:name w:val="Heading 1"/>
    <w:basedOn w:val="692"/>
    <w:next w:val="692"/>
    <w:link w:val="767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4">
    <w:name w:val="Heading 2"/>
    <w:basedOn w:val="692"/>
    <w:next w:val="692"/>
    <w:link w:val="76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5">
    <w:name w:val="Heading 3"/>
    <w:basedOn w:val="692"/>
    <w:next w:val="692"/>
    <w:link w:val="76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92"/>
    <w:next w:val="692"/>
    <w:link w:val="77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692"/>
    <w:next w:val="692"/>
    <w:link w:val="77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92"/>
    <w:next w:val="692"/>
    <w:link w:val="7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9">
    <w:name w:val="Heading 7"/>
    <w:basedOn w:val="692"/>
    <w:next w:val="692"/>
    <w:link w:val="77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0">
    <w:name w:val="Heading 8"/>
    <w:basedOn w:val="692"/>
    <w:next w:val="692"/>
    <w:link w:val="77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1">
    <w:name w:val="Heading 9"/>
    <w:basedOn w:val="692"/>
    <w:next w:val="692"/>
    <w:link w:val="77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default="1">
    <w:name w:val="Default Paragraph Font"/>
    <w:uiPriority w:val="1"/>
    <w:semiHidden/>
    <w:unhideWhenUsed/>
  </w:style>
  <w:style w:type="table" w:styleId="7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4" w:default="1">
    <w:name w:val="No List"/>
    <w:uiPriority w:val="99"/>
    <w:semiHidden/>
    <w:unhideWhenUsed/>
  </w:style>
  <w:style w:type="character" w:styleId="705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Heading 2 Char"/>
    <w:uiPriority w:val="9"/>
    <w:rPr>
      <w:rFonts w:ascii="Arial" w:hAnsi="Arial" w:eastAsia="Arial" w:cs="Arial"/>
      <w:sz w:val="34"/>
    </w:rPr>
  </w:style>
  <w:style w:type="character" w:styleId="707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692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rPr>
      <w:sz w:val="22"/>
      <w:szCs w:val="22"/>
      <w:lang w:eastAsia="en-US"/>
    </w:rPr>
  </w:style>
  <w:style w:type="paragraph" w:styleId="716">
    <w:name w:val="Title"/>
    <w:basedOn w:val="692"/>
    <w:next w:val="692"/>
    <w:link w:val="776"/>
    <w:uiPriority w:val="10"/>
    <w:qFormat/>
    <w:pPr>
      <w:contextualSpacing/>
      <w:spacing w:before="300"/>
    </w:pPr>
    <w:rPr>
      <w:sz w:val="48"/>
      <w:szCs w:val="48"/>
    </w:rPr>
  </w:style>
  <w:style w:type="character" w:styleId="717" w:customStyle="1">
    <w:name w:val="Title Char"/>
    <w:uiPriority w:val="10"/>
    <w:rPr>
      <w:sz w:val="48"/>
      <w:szCs w:val="48"/>
    </w:rPr>
  </w:style>
  <w:style w:type="paragraph" w:styleId="718">
    <w:name w:val="Subtitle"/>
    <w:basedOn w:val="692"/>
    <w:next w:val="692"/>
    <w:link w:val="777"/>
    <w:uiPriority w:val="11"/>
    <w:qFormat/>
    <w:pPr>
      <w:spacing w:before="200"/>
    </w:pPr>
    <w:rPr>
      <w:sz w:val="24"/>
      <w:szCs w:val="24"/>
    </w:rPr>
  </w:style>
  <w:style w:type="character" w:styleId="719" w:customStyle="1">
    <w:name w:val="Subtitle Char"/>
    <w:uiPriority w:val="11"/>
    <w:rPr>
      <w:sz w:val="24"/>
      <w:szCs w:val="24"/>
    </w:rPr>
  </w:style>
  <w:style w:type="paragraph" w:styleId="720">
    <w:name w:val="Quote"/>
    <w:basedOn w:val="692"/>
    <w:next w:val="692"/>
    <w:link w:val="778"/>
    <w:uiPriority w:val="29"/>
    <w:qFormat/>
    <w:pPr>
      <w:ind w:left="720" w:right="720"/>
    </w:pPr>
    <w:rPr>
      <w:i/>
    </w:rPr>
  </w:style>
  <w:style w:type="character" w:styleId="721" w:customStyle="1">
    <w:name w:val="Quote Char"/>
    <w:uiPriority w:val="29"/>
    <w:rPr>
      <w:i/>
    </w:rPr>
  </w:style>
  <w:style w:type="paragraph" w:styleId="722">
    <w:name w:val="Intense Quote"/>
    <w:basedOn w:val="692"/>
    <w:next w:val="692"/>
    <w:link w:val="77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Intense Quote Char"/>
    <w:uiPriority w:val="30"/>
    <w:rPr>
      <w:i/>
    </w:rPr>
  </w:style>
  <w:style w:type="paragraph" w:styleId="724">
    <w:name w:val="Header"/>
    <w:basedOn w:val="692"/>
    <w:link w:val="7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Header Char"/>
    <w:uiPriority w:val="99"/>
  </w:style>
  <w:style w:type="paragraph" w:styleId="726">
    <w:name w:val="Footer"/>
    <w:basedOn w:val="692"/>
    <w:link w:val="7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27">
    <w:name w:val="Caption"/>
    <w:basedOn w:val="692"/>
    <w:next w:val="692"/>
    <w:link w:val="728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28" w:customStyle="1">
    <w:name w:val="Caption Char"/>
    <w:uiPriority w:val="99"/>
  </w:style>
  <w:style w:type="table" w:styleId="729">
    <w:name w:val="Table Grid"/>
    <w:basedOn w:val="703"/>
    <w:uiPriority w:val="59"/>
    <w:tblPr/>
  </w:style>
  <w:style w:type="table" w:styleId="730">
    <w:name w:val="Plain Table 1"/>
    <w:basedOn w:val="703"/>
    <w:uiPriority w:val="59"/>
    <w:tblPr/>
  </w:style>
  <w:style w:type="table" w:styleId="731">
    <w:name w:val="Plain Table 2"/>
    <w:basedOn w:val="703"/>
    <w:uiPriority w:val="59"/>
    <w:tblPr/>
  </w:style>
  <w:style w:type="table" w:styleId="732">
    <w:name w:val="Plain Table 3"/>
    <w:basedOn w:val="703"/>
    <w:uiPriority w:val="99"/>
    <w:tblPr/>
  </w:style>
  <w:style w:type="table" w:styleId="733">
    <w:name w:val="Plain Table 4"/>
    <w:basedOn w:val="703"/>
    <w:uiPriority w:val="99"/>
    <w:tblPr/>
  </w:style>
  <w:style w:type="table" w:styleId="734">
    <w:name w:val="Plain Table 5"/>
    <w:basedOn w:val="703"/>
    <w:uiPriority w:val="99"/>
    <w:tblPr/>
  </w:style>
  <w:style w:type="table" w:styleId="735">
    <w:name w:val="Grid Table 1 Light"/>
    <w:basedOn w:val="703"/>
    <w:uiPriority w:val="99"/>
    <w:tblPr/>
  </w:style>
  <w:style w:type="table" w:styleId="736">
    <w:name w:val="Grid Table 2"/>
    <w:basedOn w:val="703"/>
    <w:uiPriority w:val="99"/>
    <w:tblPr/>
  </w:style>
  <w:style w:type="table" w:styleId="737">
    <w:name w:val="Grid Table 3"/>
    <w:basedOn w:val="703"/>
    <w:uiPriority w:val="99"/>
    <w:tblPr/>
  </w:style>
  <w:style w:type="table" w:styleId="738">
    <w:name w:val="Grid Table 4"/>
    <w:basedOn w:val="703"/>
    <w:uiPriority w:val="59"/>
    <w:tblPr/>
  </w:style>
  <w:style w:type="table" w:styleId="739">
    <w:name w:val="Grid Table 5 Dark"/>
    <w:basedOn w:val="703"/>
    <w:uiPriority w:val="99"/>
    <w:tblPr/>
  </w:style>
  <w:style w:type="table" w:styleId="740">
    <w:name w:val="Grid Table 6 Colorful"/>
    <w:basedOn w:val="703"/>
    <w:uiPriority w:val="99"/>
    <w:tblPr/>
  </w:style>
  <w:style w:type="table" w:styleId="741">
    <w:name w:val="Grid Table 7 Colorful"/>
    <w:basedOn w:val="703"/>
    <w:uiPriority w:val="99"/>
    <w:tblPr/>
  </w:style>
  <w:style w:type="table" w:styleId="742">
    <w:name w:val="List Table 1 Light"/>
    <w:basedOn w:val="703"/>
    <w:uiPriority w:val="99"/>
    <w:tblPr/>
  </w:style>
  <w:style w:type="table" w:styleId="743">
    <w:name w:val="List Table 2"/>
    <w:basedOn w:val="703"/>
    <w:uiPriority w:val="99"/>
    <w:tblPr/>
  </w:style>
  <w:style w:type="table" w:styleId="744">
    <w:name w:val="List Table 3"/>
    <w:basedOn w:val="703"/>
    <w:uiPriority w:val="99"/>
    <w:tblPr/>
  </w:style>
  <w:style w:type="table" w:styleId="745">
    <w:name w:val="List Table 4"/>
    <w:basedOn w:val="703"/>
    <w:uiPriority w:val="99"/>
    <w:tblPr/>
  </w:style>
  <w:style w:type="table" w:styleId="746">
    <w:name w:val="List Table 5 Dark"/>
    <w:basedOn w:val="703"/>
    <w:uiPriority w:val="99"/>
    <w:tblPr/>
  </w:style>
  <w:style w:type="table" w:styleId="747">
    <w:name w:val="List Table 6 Colorful"/>
    <w:basedOn w:val="703"/>
    <w:uiPriority w:val="99"/>
    <w:tblPr/>
  </w:style>
  <w:style w:type="table" w:styleId="748">
    <w:name w:val="List Table 7 Colorful"/>
    <w:basedOn w:val="703"/>
    <w:uiPriority w:val="99"/>
    <w:tblPr/>
  </w:style>
  <w:style w:type="character" w:styleId="749">
    <w:name w:val="Hyperlink"/>
    <w:uiPriority w:val="99"/>
    <w:unhideWhenUsed/>
    <w:rPr>
      <w:rFonts w:ascii="Geometria Medium" w:hAnsi="Geometria Medium"/>
      <w:color w:val="0478cf"/>
      <w:u w:val="none"/>
    </w:rPr>
  </w:style>
  <w:style w:type="paragraph" w:styleId="750">
    <w:name w:val="footnote text"/>
    <w:basedOn w:val="692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751" w:customStyle="1">
    <w:name w:val="Footnote Text Char"/>
    <w:uiPriority w:val="99"/>
    <w:rPr>
      <w:sz w:val="18"/>
    </w:rPr>
  </w:style>
  <w:style w:type="character" w:styleId="752">
    <w:name w:val="footnote reference"/>
    <w:uiPriority w:val="99"/>
    <w:unhideWhenUsed/>
    <w:rPr>
      <w:vertAlign w:val="superscript"/>
    </w:rPr>
  </w:style>
  <w:style w:type="paragraph" w:styleId="753">
    <w:name w:val="endnote text"/>
    <w:basedOn w:val="692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754" w:customStyle="1">
    <w:name w:val="Endnote Text Char"/>
    <w:uiPriority w:val="99"/>
    <w:rPr>
      <w:sz w:val="20"/>
    </w:rPr>
  </w:style>
  <w:style w:type="character" w:styleId="755">
    <w:name w:val="endnote reference"/>
    <w:uiPriority w:val="99"/>
    <w:semiHidden/>
    <w:unhideWhenUsed/>
    <w:rPr>
      <w:vertAlign w:val="superscript"/>
    </w:rPr>
  </w:style>
  <w:style w:type="paragraph" w:styleId="756">
    <w:name w:val="toc 1"/>
    <w:basedOn w:val="692"/>
    <w:next w:val="692"/>
    <w:uiPriority w:val="39"/>
    <w:unhideWhenUsed/>
    <w:pPr>
      <w:spacing w:after="57"/>
    </w:pPr>
  </w:style>
  <w:style w:type="paragraph" w:styleId="757">
    <w:name w:val="toc 2"/>
    <w:basedOn w:val="692"/>
    <w:next w:val="692"/>
    <w:uiPriority w:val="39"/>
    <w:unhideWhenUsed/>
    <w:pPr>
      <w:ind w:left="283"/>
      <w:spacing w:after="57"/>
    </w:pPr>
  </w:style>
  <w:style w:type="paragraph" w:styleId="758">
    <w:name w:val="toc 3"/>
    <w:basedOn w:val="692"/>
    <w:next w:val="692"/>
    <w:uiPriority w:val="39"/>
    <w:unhideWhenUsed/>
    <w:pPr>
      <w:ind w:left="567"/>
      <w:spacing w:after="57"/>
    </w:pPr>
  </w:style>
  <w:style w:type="paragraph" w:styleId="759">
    <w:name w:val="toc 4"/>
    <w:basedOn w:val="692"/>
    <w:next w:val="692"/>
    <w:uiPriority w:val="39"/>
    <w:unhideWhenUsed/>
    <w:pPr>
      <w:ind w:left="850"/>
      <w:spacing w:after="57"/>
    </w:pPr>
  </w:style>
  <w:style w:type="paragraph" w:styleId="760">
    <w:name w:val="toc 5"/>
    <w:basedOn w:val="692"/>
    <w:next w:val="692"/>
    <w:uiPriority w:val="39"/>
    <w:unhideWhenUsed/>
    <w:pPr>
      <w:ind w:left="1134"/>
      <w:spacing w:after="57"/>
    </w:pPr>
  </w:style>
  <w:style w:type="paragraph" w:styleId="761">
    <w:name w:val="toc 6"/>
    <w:basedOn w:val="692"/>
    <w:next w:val="692"/>
    <w:uiPriority w:val="39"/>
    <w:unhideWhenUsed/>
    <w:pPr>
      <w:ind w:left="1417"/>
      <w:spacing w:after="57"/>
    </w:pPr>
  </w:style>
  <w:style w:type="paragraph" w:styleId="762">
    <w:name w:val="toc 7"/>
    <w:basedOn w:val="692"/>
    <w:next w:val="692"/>
    <w:uiPriority w:val="39"/>
    <w:unhideWhenUsed/>
    <w:pPr>
      <w:ind w:left="1701"/>
      <w:spacing w:after="57"/>
    </w:pPr>
  </w:style>
  <w:style w:type="paragraph" w:styleId="763">
    <w:name w:val="toc 8"/>
    <w:basedOn w:val="692"/>
    <w:next w:val="692"/>
    <w:uiPriority w:val="39"/>
    <w:unhideWhenUsed/>
    <w:pPr>
      <w:ind w:left="1984"/>
      <w:spacing w:after="57"/>
    </w:pPr>
  </w:style>
  <w:style w:type="paragraph" w:styleId="764">
    <w:name w:val="toc 9"/>
    <w:basedOn w:val="692"/>
    <w:next w:val="692"/>
    <w:uiPriority w:val="39"/>
    <w:unhideWhenUsed/>
    <w:pPr>
      <w:ind w:left="2268"/>
      <w:spacing w:after="57"/>
    </w:pPr>
  </w:style>
  <w:style w:type="paragraph" w:styleId="765">
    <w:name w:val="TOC Heading"/>
    <w:uiPriority w:val="39"/>
    <w:unhideWhenUsed/>
    <w:pPr>
      <w:spacing w:after="200" w:line="276" w:lineRule="auto"/>
    </w:pPr>
    <w:rPr>
      <w:sz w:val="22"/>
      <w:szCs w:val="22"/>
      <w:lang w:eastAsia="en-US"/>
    </w:rPr>
  </w:style>
  <w:style w:type="paragraph" w:styleId="766">
    <w:name w:val="table of figures"/>
    <w:basedOn w:val="692"/>
    <w:next w:val="692"/>
    <w:uiPriority w:val="99"/>
    <w:unhideWhenUsed/>
    <w:pPr>
      <w:spacing w:after="0"/>
    </w:pPr>
  </w:style>
  <w:style w:type="character" w:styleId="767" w:customStyle="1">
    <w:name w:val="Заголовок 1 Знак"/>
    <w:link w:val="693"/>
    <w:uiPriority w:val="9"/>
    <w:rPr>
      <w:rFonts w:ascii="Arial" w:hAnsi="Arial" w:eastAsia="Arial" w:cs="Arial"/>
      <w:sz w:val="40"/>
      <w:szCs w:val="40"/>
    </w:rPr>
  </w:style>
  <w:style w:type="character" w:styleId="768" w:customStyle="1">
    <w:name w:val="Заголовок 2 Знак"/>
    <w:link w:val="694"/>
    <w:uiPriority w:val="9"/>
    <w:rPr>
      <w:rFonts w:ascii="Arial" w:hAnsi="Arial" w:eastAsia="Arial" w:cs="Arial"/>
      <w:sz w:val="34"/>
    </w:rPr>
  </w:style>
  <w:style w:type="character" w:styleId="769" w:customStyle="1">
    <w:name w:val="Заголовок 3 Знак"/>
    <w:link w:val="695"/>
    <w:uiPriority w:val="9"/>
    <w:rPr>
      <w:rFonts w:ascii="Arial" w:hAnsi="Arial" w:eastAsia="Arial" w:cs="Arial"/>
      <w:sz w:val="30"/>
      <w:szCs w:val="30"/>
    </w:rPr>
  </w:style>
  <w:style w:type="character" w:styleId="770" w:customStyle="1">
    <w:name w:val="Заголовок 4 Знак"/>
    <w:link w:val="696"/>
    <w:uiPriority w:val="9"/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Заголовок 5 Знак"/>
    <w:link w:val="697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Заголовок 6 Знак"/>
    <w:link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Заголовок 7 Знак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Заголовок 8 Знак"/>
    <w:link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Заголовок 9 Знак"/>
    <w:link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76" w:customStyle="1">
    <w:name w:val="Заголовок Знак"/>
    <w:link w:val="716"/>
    <w:uiPriority w:val="10"/>
    <w:rPr>
      <w:sz w:val="48"/>
      <w:szCs w:val="48"/>
    </w:rPr>
  </w:style>
  <w:style w:type="character" w:styleId="777" w:customStyle="1">
    <w:name w:val="Подзаголовок Знак"/>
    <w:link w:val="718"/>
    <w:uiPriority w:val="11"/>
    <w:rPr>
      <w:sz w:val="24"/>
      <w:szCs w:val="24"/>
    </w:rPr>
  </w:style>
  <w:style w:type="character" w:styleId="778" w:customStyle="1">
    <w:name w:val="Цитата 2 Знак"/>
    <w:link w:val="720"/>
    <w:uiPriority w:val="29"/>
    <w:rPr>
      <w:i/>
    </w:rPr>
  </w:style>
  <w:style w:type="character" w:styleId="779" w:customStyle="1">
    <w:name w:val="Выделенная цитата Знак"/>
    <w:link w:val="722"/>
    <w:uiPriority w:val="30"/>
    <w:rPr>
      <w:i/>
    </w:rPr>
  </w:style>
  <w:style w:type="character" w:styleId="780" w:customStyle="1">
    <w:name w:val="Верхний колонтитул Знак"/>
    <w:basedOn w:val="702"/>
    <w:link w:val="724"/>
    <w:uiPriority w:val="99"/>
  </w:style>
  <w:style w:type="character" w:styleId="781" w:customStyle="1">
    <w:name w:val="Footer Char"/>
    <w:basedOn w:val="702"/>
    <w:uiPriority w:val="99"/>
  </w:style>
  <w:style w:type="character" w:styleId="782" w:customStyle="1">
    <w:name w:val="Нижний колонтитул Знак"/>
    <w:link w:val="726"/>
    <w:uiPriority w:val="99"/>
  </w:style>
  <w:style w:type="table" w:styleId="783" w:customStyle="1">
    <w:name w:val="Table Grid Light"/>
    <w:basedOn w:val="703"/>
    <w:uiPriority w:val="59"/>
    <w:tblPr/>
  </w:style>
  <w:style w:type="table" w:styleId="784" w:customStyle="1">
    <w:name w:val="Grid Table 1 Light - Accent 1"/>
    <w:basedOn w:val="703"/>
    <w:uiPriority w:val="99"/>
    <w:tblPr/>
  </w:style>
  <w:style w:type="table" w:styleId="785" w:customStyle="1">
    <w:name w:val="Grid Table 1 Light - Accent 2"/>
    <w:basedOn w:val="703"/>
    <w:uiPriority w:val="99"/>
    <w:tblPr/>
  </w:style>
  <w:style w:type="table" w:styleId="786" w:customStyle="1">
    <w:name w:val="Grid Table 1 Light - Accent 3"/>
    <w:basedOn w:val="703"/>
    <w:uiPriority w:val="99"/>
    <w:tblPr/>
  </w:style>
  <w:style w:type="table" w:styleId="787" w:customStyle="1">
    <w:name w:val="Grid Table 1 Light - Accent 4"/>
    <w:basedOn w:val="703"/>
    <w:uiPriority w:val="99"/>
    <w:tblPr/>
  </w:style>
  <w:style w:type="table" w:styleId="788" w:customStyle="1">
    <w:name w:val="Grid Table 1 Light - Accent 5"/>
    <w:basedOn w:val="703"/>
    <w:uiPriority w:val="99"/>
    <w:tblPr/>
  </w:style>
  <w:style w:type="table" w:styleId="789" w:customStyle="1">
    <w:name w:val="Grid Table 1 Light - Accent 6"/>
    <w:basedOn w:val="703"/>
    <w:uiPriority w:val="99"/>
    <w:tblPr/>
  </w:style>
  <w:style w:type="table" w:styleId="790" w:customStyle="1">
    <w:name w:val="Grid Table 2 - Accent 1"/>
    <w:basedOn w:val="703"/>
    <w:uiPriority w:val="99"/>
    <w:tblPr/>
  </w:style>
  <w:style w:type="table" w:styleId="791" w:customStyle="1">
    <w:name w:val="Grid Table 2 - Accent 2"/>
    <w:basedOn w:val="703"/>
    <w:uiPriority w:val="99"/>
    <w:tblPr/>
  </w:style>
  <w:style w:type="table" w:styleId="792" w:customStyle="1">
    <w:name w:val="Grid Table 2 - Accent 3"/>
    <w:basedOn w:val="703"/>
    <w:uiPriority w:val="99"/>
    <w:tblPr/>
  </w:style>
  <w:style w:type="table" w:styleId="793" w:customStyle="1">
    <w:name w:val="Grid Table 2 - Accent 4"/>
    <w:basedOn w:val="703"/>
    <w:uiPriority w:val="99"/>
    <w:tblPr/>
  </w:style>
  <w:style w:type="table" w:styleId="794" w:customStyle="1">
    <w:name w:val="Grid Table 2 - Accent 5"/>
    <w:basedOn w:val="703"/>
    <w:uiPriority w:val="99"/>
    <w:tblPr/>
  </w:style>
  <w:style w:type="table" w:styleId="795" w:customStyle="1">
    <w:name w:val="Grid Table 2 - Accent 6"/>
    <w:basedOn w:val="703"/>
    <w:uiPriority w:val="99"/>
    <w:tblPr/>
  </w:style>
  <w:style w:type="table" w:styleId="796" w:customStyle="1">
    <w:name w:val="Grid Table 3 - Accent 1"/>
    <w:basedOn w:val="703"/>
    <w:uiPriority w:val="99"/>
    <w:tblPr/>
  </w:style>
  <w:style w:type="table" w:styleId="797" w:customStyle="1">
    <w:name w:val="Grid Table 3 - Accent 2"/>
    <w:basedOn w:val="703"/>
    <w:uiPriority w:val="99"/>
    <w:tblPr/>
  </w:style>
  <w:style w:type="table" w:styleId="798" w:customStyle="1">
    <w:name w:val="Grid Table 3 - Accent 3"/>
    <w:basedOn w:val="703"/>
    <w:uiPriority w:val="99"/>
    <w:tblPr/>
  </w:style>
  <w:style w:type="table" w:styleId="799" w:customStyle="1">
    <w:name w:val="Grid Table 3 - Accent 4"/>
    <w:basedOn w:val="703"/>
    <w:uiPriority w:val="99"/>
    <w:tblPr/>
  </w:style>
  <w:style w:type="table" w:styleId="800" w:customStyle="1">
    <w:name w:val="Grid Table 3 - Accent 5"/>
    <w:basedOn w:val="703"/>
    <w:uiPriority w:val="99"/>
    <w:tblPr/>
  </w:style>
  <w:style w:type="table" w:styleId="801" w:customStyle="1">
    <w:name w:val="Grid Table 3 - Accent 6"/>
    <w:basedOn w:val="703"/>
    <w:uiPriority w:val="99"/>
    <w:tblPr/>
  </w:style>
  <w:style w:type="table" w:styleId="802" w:customStyle="1">
    <w:name w:val="Grid Table 4 - Accent 1"/>
    <w:basedOn w:val="703"/>
    <w:uiPriority w:val="59"/>
    <w:tblPr/>
  </w:style>
  <w:style w:type="table" w:styleId="803" w:customStyle="1">
    <w:name w:val="Grid Table 4 - Accent 2"/>
    <w:basedOn w:val="703"/>
    <w:uiPriority w:val="59"/>
    <w:tblPr/>
  </w:style>
  <w:style w:type="table" w:styleId="804" w:customStyle="1">
    <w:name w:val="Grid Table 4 - Accent 3"/>
    <w:basedOn w:val="703"/>
    <w:uiPriority w:val="59"/>
    <w:tblPr/>
  </w:style>
  <w:style w:type="table" w:styleId="805" w:customStyle="1">
    <w:name w:val="Grid Table 4 - Accent 4"/>
    <w:basedOn w:val="703"/>
    <w:uiPriority w:val="59"/>
    <w:tblPr/>
  </w:style>
  <w:style w:type="table" w:styleId="806" w:customStyle="1">
    <w:name w:val="Grid Table 4 - Accent 5"/>
    <w:basedOn w:val="703"/>
    <w:uiPriority w:val="59"/>
    <w:tblPr/>
  </w:style>
  <w:style w:type="table" w:styleId="807" w:customStyle="1">
    <w:name w:val="Grid Table 4 - Accent 6"/>
    <w:basedOn w:val="703"/>
    <w:uiPriority w:val="59"/>
    <w:tblPr/>
  </w:style>
  <w:style w:type="table" w:styleId="808" w:customStyle="1">
    <w:name w:val="Grid Table 5 Dark- Accent 1"/>
    <w:basedOn w:val="703"/>
    <w:uiPriority w:val="99"/>
    <w:tblPr/>
  </w:style>
  <w:style w:type="table" w:styleId="809" w:customStyle="1">
    <w:name w:val="Grid Table 5 Dark - Accent 2"/>
    <w:basedOn w:val="703"/>
    <w:uiPriority w:val="99"/>
    <w:tblPr/>
  </w:style>
  <w:style w:type="table" w:styleId="810" w:customStyle="1">
    <w:name w:val="Grid Table 5 Dark - Accent 3"/>
    <w:basedOn w:val="703"/>
    <w:uiPriority w:val="99"/>
    <w:tblPr/>
  </w:style>
  <w:style w:type="table" w:styleId="811" w:customStyle="1">
    <w:name w:val="Grid Table 5 Dark- Accent 4"/>
    <w:basedOn w:val="703"/>
    <w:uiPriority w:val="99"/>
    <w:tblPr/>
  </w:style>
  <w:style w:type="table" w:styleId="812" w:customStyle="1">
    <w:name w:val="Grid Table 5 Dark - Accent 5"/>
    <w:basedOn w:val="703"/>
    <w:uiPriority w:val="99"/>
    <w:tblPr/>
  </w:style>
  <w:style w:type="table" w:styleId="813" w:customStyle="1">
    <w:name w:val="Grid Table 5 Dark - Accent 6"/>
    <w:basedOn w:val="703"/>
    <w:uiPriority w:val="99"/>
    <w:tblPr/>
  </w:style>
  <w:style w:type="table" w:styleId="814" w:customStyle="1">
    <w:name w:val="Grid Table 6 Colorful - Accent 1"/>
    <w:basedOn w:val="703"/>
    <w:uiPriority w:val="99"/>
    <w:tblPr/>
  </w:style>
  <w:style w:type="table" w:styleId="815" w:customStyle="1">
    <w:name w:val="Grid Table 6 Colorful - Accent 2"/>
    <w:basedOn w:val="703"/>
    <w:uiPriority w:val="99"/>
    <w:tblPr/>
  </w:style>
  <w:style w:type="table" w:styleId="816" w:customStyle="1">
    <w:name w:val="Grid Table 6 Colorful - Accent 3"/>
    <w:basedOn w:val="703"/>
    <w:uiPriority w:val="99"/>
    <w:tblPr/>
  </w:style>
  <w:style w:type="table" w:styleId="817" w:customStyle="1">
    <w:name w:val="Grid Table 6 Colorful - Accent 4"/>
    <w:basedOn w:val="703"/>
    <w:uiPriority w:val="99"/>
    <w:tblPr/>
  </w:style>
  <w:style w:type="table" w:styleId="818" w:customStyle="1">
    <w:name w:val="Grid Table 6 Colorful - Accent 5"/>
    <w:basedOn w:val="703"/>
    <w:uiPriority w:val="99"/>
    <w:tblPr/>
  </w:style>
  <w:style w:type="table" w:styleId="819" w:customStyle="1">
    <w:name w:val="Grid Table 6 Colorful - Accent 6"/>
    <w:basedOn w:val="703"/>
    <w:uiPriority w:val="99"/>
    <w:tblPr/>
  </w:style>
  <w:style w:type="table" w:styleId="820" w:customStyle="1">
    <w:name w:val="Grid Table 7 Colorful - Accent 1"/>
    <w:basedOn w:val="703"/>
    <w:uiPriority w:val="99"/>
    <w:tblPr/>
  </w:style>
  <w:style w:type="table" w:styleId="821" w:customStyle="1">
    <w:name w:val="Grid Table 7 Colorful - Accent 2"/>
    <w:basedOn w:val="703"/>
    <w:uiPriority w:val="99"/>
    <w:tblPr/>
  </w:style>
  <w:style w:type="table" w:styleId="822" w:customStyle="1">
    <w:name w:val="Grid Table 7 Colorful - Accent 3"/>
    <w:basedOn w:val="703"/>
    <w:uiPriority w:val="99"/>
    <w:tblPr/>
  </w:style>
  <w:style w:type="table" w:styleId="823" w:customStyle="1">
    <w:name w:val="Grid Table 7 Colorful - Accent 4"/>
    <w:basedOn w:val="703"/>
    <w:uiPriority w:val="99"/>
    <w:tblPr/>
  </w:style>
  <w:style w:type="table" w:styleId="824" w:customStyle="1">
    <w:name w:val="Grid Table 7 Colorful - Accent 5"/>
    <w:basedOn w:val="703"/>
    <w:uiPriority w:val="99"/>
    <w:tblPr/>
  </w:style>
  <w:style w:type="table" w:styleId="825" w:customStyle="1">
    <w:name w:val="Grid Table 7 Colorful - Accent 6"/>
    <w:basedOn w:val="703"/>
    <w:uiPriority w:val="99"/>
    <w:tblPr/>
  </w:style>
  <w:style w:type="table" w:styleId="826" w:customStyle="1">
    <w:name w:val="List Table 1 Light - Accent 1"/>
    <w:basedOn w:val="703"/>
    <w:uiPriority w:val="99"/>
    <w:tblPr/>
  </w:style>
  <w:style w:type="table" w:styleId="827" w:customStyle="1">
    <w:name w:val="List Table 1 Light - Accent 2"/>
    <w:basedOn w:val="703"/>
    <w:uiPriority w:val="99"/>
    <w:tblPr/>
  </w:style>
  <w:style w:type="table" w:styleId="828" w:customStyle="1">
    <w:name w:val="List Table 1 Light - Accent 3"/>
    <w:basedOn w:val="703"/>
    <w:uiPriority w:val="99"/>
    <w:tblPr/>
  </w:style>
  <w:style w:type="table" w:styleId="829" w:customStyle="1">
    <w:name w:val="List Table 1 Light - Accent 4"/>
    <w:basedOn w:val="703"/>
    <w:uiPriority w:val="99"/>
    <w:tblPr/>
  </w:style>
  <w:style w:type="table" w:styleId="830" w:customStyle="1">
    <w:name w:val="List Table 1 Light - Accent 5"/>
    <w:basedOn w:val="703"/>
    <w:uiPriority w:val="99"/>
    <w:tblPr/>
  </w:style>
  <w:style w:type="table" w:styleId="831" w:customStyle="1">
    <w:name w:val="List Table 1 Light - Accent 6"/>
    <w:basedOn w:val="703"/>
    <w:uiPriority w:val="99"/>
    <w:tblPr/>
  </w:style>
  <w:style w:type="table" w:styleId="832" w:customStyle="1">
    <w:name w:val="List Table 2 - Accent 1"/>
    <w:basedOn w:val="703"/>
    <w:uiPriority w:val="99"/>
    <w:tblPr/>
  </w:style>
  <w:style w:type="table" w:styleId="833" w:customStyle="1">
    <w:name w:val="List Table 2 - Accent 2"/>
    <w:basedOn w:val="703"/>
    <w:uiPriority w:val="99"/>
    <w:tblPr/>
  </w:style>
  <w:style w:type="table" w:styleId="834" w:customStyle="1">
    <w:name w:val="List Table 2 - Accent 3"/>
    <w:basedOn w:val="703"/>
    <w:uiPriority w:val="99"/>
    <w:tblPr/>
  </w:style>
  <w:style w:type="table" w:styleId="835" w:customStyle="1">
    <w:name w:val="List Table 2 - Accent 4"/>
    <w:basedOn w:val="703"/>
    <w:uiPriority w:val="99"/>
    <w:tblPr/>
  </w:style>
  <w:style w:type="table" w:styleId="836" w:customStyle="1">
    <w:name w:val="List Table 2 - Accent 5"/>
    <w:basedOn w:val="703"/>
    <w:uiPriority w:val="99"/>
    <w:tblPr/>
  </w:style>
  <w:style w:type="table" w:styleId="837" w:customStyle="1">
    <w:name w:val="List Table 2 - Accent 6"/>
    <w:basedOn w:val="703"/>
    <w:uiPriority w:val="99"/>
    <w:tblPr/>
  </w:style>
  <w:style w:type="table" w:styleId="838" w:customStyle="1">
    <w:name w:val="List Table 3 - Accent 1"/>
    <w:basedOn w:val="703"/>
    <w:uiPriority w:val="99"/>
    <w:tblPr/>
  </w:style>
  <w:style w:type="table" w:styleId="839" w:customStyle="1">
    <w:name w:val="List Table 3 - Accent 2"/>
    <w:basedOn w:val="703"/>
    <w:uiPriority w:val="99"/>
    <w:tblPr/>
  </w:style>
  <w:style w:type="table" w:styleId="840" w:customStyle="1">
    <w:name w:val="List Table 3 - Accent 3"/>
    <w:basedOn w:val="703"/>
    <w:uiPriority w:val="99"/>
    <w:tblPr/>
  </w:style>
  <w:style w:type="table" w:styleId="841" w:customStyle="1">
    <w:name w:val="List Table 3 - Accent 4"/>
    <w:basedOn w:val="703"/>
    <w:uiPriority w:val="99"/>
    <w:tblPr/>
  </w:style>
  <w:style w:type="table" w:styleId="842" w:customStyle="1">
    <w:name w:val="List Table 3 - Accent 5"/>
    <w:basedOn w:val="703"/>
    <w:uiPriority w:val="99"/>
    <w:tblPr/>
  </w:style>
  <w:style w:type="table" w:styleId="843" w:customStyle="1">
    <w:name w:val="List Table 3 - Accent 6"/>
    <w:basedOn w:val="703"/>
    <w:uiPriority w:val="99"/>
    <w:tblPr/>
  </w:style>
  <w:style w:type="table" w:styleId="844" w:customStyle="1">
    <w:name w:val="List Table 4 - Accent 1"/>
    <w:basedOn w:val="703"/>
    <w:uiPriority w:val="99"/>
    <w:tblPr/>
  </w:style>
  <w:style w:type="table" w:styleId="845" w:customStyle="1">
    <w:name w:val="List Table 4 - Accent 2"/>
    <w:basedOn w:val="703"/>
    <w:uiPriority w:val="99"/>
    <w:tblPr/>
  </w:style>
  <w:style w:type="table" w:styleId="846" w:customStyle="1">
    <w:name w:val="List Table 4 - Accent 3"/>
    <w:basedOn w:val="703"/>
    <w:uiPriority w:val="99"/>
    <w:tblPr/>
  </w:style>
  <w:style w:type="table" w:styleId="847" w:customStyle="1">
    <w:name w:val="List Table 4 - Accent 4"/>
    <w:basedOn w:val="703"/>
    <w:uiPriority w:val="99"/>
    <w:tblPr/>
  </w:style>
  <w:style w:type="table" w:styleId="848" w:customStyle="1">
    <w:name w:val="List Table 4 - Accent 5"/>
    <w:basedOn w:val="703"/>
    <w:uiPriority w:val="99"/>
    <w:tblPr/>
  </w:style>
  <w:style w:type="table" w:styleId="849" w:customStyle="1">
    <w:name w:val="List Table 4 - Accent 6"/>
    <w:basedOn w:val="703"/>
    <w:uiPriority w:val="99"/>
    <w:tblPr/>
  </w:style>
  <w:style w:type="table" w:styleId="850" w:customStyle="1">
    <w:name w:val="List Table 5 Dark - Accent 1"/>
    <w:basedOn w:val="703"/>
    <w:uiPriority w:val="99"/>
    <w:tblPr/>
  </w:style>
  <w:style w:type="table" w:styleId="851" w:customStyle="1">
    <w:name w:val="List Table 5 Dark - Accent 2"/>
    <w:basedOn w:val="703"/>
    <w:uiPriority w:val="99"/>
    <w:tblPr/>
  </w:style>
  <w:style w:type="table" w:styleId="852" w:customStyle="1">
    <w:name w:val="List Table 5 Dark - Accent 3"/>
    <w:basedOn w:val="703"/>
    <w:uiPriority w:val="99"/>
    <w:tblPr/>
  </w:style>
  <w:style w:type="table" w:styleId="853" w:customStyle="1">
    <w:name w:val="List Table 5 Dark - Accent 4"/>
    <w:basedOn w:val="703"/>
    <w:uiPriority w:val="99"/>
    <w:tblPr/>
  </w:style>
  <w:style w:type="table" w:styleId="854" w:customStyle="1">
    <w:name w:val="List Table 5 Dark - Accent 5"/>
    <w:basedOn w:val="703"/>
    <w:uiPriority w:val="99"/>
    <w:tblPr/>
  </w:style>
  <w:style w:type="table" w:styleId="855" w:customStyle="1">
    <w:name w:val="List Table 5 Dark - Accent 6"/>
    <w:basedOn w:val="703"/>
    <w:uiPriority w:val="99"/>
    <w:tblPr/>
  </w:style>
  <w:style w:type="table" w:styleId="856" w:customStyle="1">
    <w:name w:val="List Table 6 Colorful - Accent 1"/>
    <w:basedOn w:val="703"/>
    <w:uiPriority w:val="99"/>
    <w:tblPr/>
  </w:style>
  <w:style w:type="table" w:styleId="857" w:customStyle="1">
    <w:name w:val="List Table 6 Colorful - Accent 2"/>
    <w:basedOn w:val="703"/>
    <w:uiPriority w:val="99"/>
    <w:tblPr/>
  </w:style>
  <w:style w:type="table" w:styleId="858" w:customStyle="1">
    <w:name w:val="List Table 6 Colorful - Accent 3"/>
    <w:basedOn w:val="703"/>
    <w:uiPriority w:val="99"/>
    <w:tblPr/>
  </w:style>
  <w:style w:type="table" w:styleId="859" w:customStyle="1">
    <w:name w:val="List Table 6 Colorful - Accent 4"/>
    <w:basedOn w:val="703"/>
    <w:uiPriority w:val="99"/>
    <w:tblPr/>
  </w:style>
  <w:style w:type="table" w:styleId="860" w:customStyle="1">
    <w:name w:val="List Table 6 Colorful - Accent 5"/>
    <w:basedOn w:val="703"/>
    <w:uiPriority w:val="99"/>
    <w:tblPr/>
  </w:style>
  <w:style w:type="table" w:styleId="861" w:customStyle="1">
    <w:name w:val="List Table 6 Colorful - Accent 6"/>
    <w:basedOn w:val="703"/>
    <w:uiPriority w:val="99"/>
    <w:tblPr/>
  </w:style>
  <w:style w:type="table" w:styleId="862" w:customStyle="1">
    <w:name w:val="List Table 7 Colorful - Accent 1"/>
    <w:basedOn w:val="703"/>
    <w:uiPriority w:val="99"/>
    <w:tblPr/>
  </w:style>
  <w:style w:type="table" w:styleId="863" w:customStyle="1">
    <w:name w:val="List Table 7 Colorful - Accent 2"/>
    <w:basedOn w:val="703"/>
    <w:uiPriority w:val="99"/>
    <w:tblPr/>
  </w:style>
  <w:style w:type="table" w:styleId="864" w:customStyle="1">
    <w:name w:val="List Table 7 Colorful - Accent 3"/>
    <w:basedOn w:val="703"/>
    <w:uiPriority w:val="99"/>
    <w:tblPr/>
  </w:style>
  <w:style w:type="table" w:styleId="865" w:customStyle="1">
    <w:name w:val="List Table 7 Colorful - Accent 4"/>
    <w:basedOn w:val="703"/>
    <w:uiPriority w:val="99"/>
    <w:tblPr/>
  </w:style>
  <w:style w:type="table" w:styleId="866" w:customStyle="1">
    <w:name w:val="List Table 7 Colorful - Accent 5"/>
    <w:basedOn w:val="703"/>
    <w:uiPriority w:val="99"/>
    <w:tblPr/>
  </w:style>
  <w:style w:type="table" w:styleId="867" w:customStyle="1">
    <w:name w:val="List Table 7 Colorful - Accent 6"/>
    <w:basedOn w:val="703"/>
    <w:uiPriority w:val="99"/>
    <w:tblPr/>
  </w:style>
  <w:style w:type="table" w:styleId="868" w:customStyle="1">
    <w:name w:val="Lined - Accent"/>
    <w:basedOn w:val="703"/>
    <w:uiPriority w:val="99"/>
    <w:rPr>
      <w:color w:val="404040"/>
      <w:lang w:eastAsia="ru-RU"/>
    </w:rPr>
    <w:tblPr/>
  </w:style>
  <w:style w:type="table" w:styleId="869" w:customStyle="1">
    <w:name w:val="Lined - Accent 1"/>
    <w:basedOn w:val="703"/>
    <w:uiPriority w:val="99"/>
    <w:rPr>
      <w:color w:val="404040"/>
      <w:lang w:eastAsia="ru-RU"/>
    </w:rPr>
    <w:tblPr/>
  </w:style>
  <w:style w:type="table" w:styleId="870" w:customStyle="1">
    <w:name w:val="Lined - Accent 2"/>
    <w:basedOn w:val="703"/>
    <w:uiPriority w:val="99"/>
    <w:rPr>
      <w:color w:val="404040"/>
      <w:lang w:eastAsia="ru-RU"/>
    </w:rPr>
    <w:tblPr/>
  </w:style>
  <w:style w:type="table" w:styleId="871" w:customStyle="1">
    <w:name w:val="Lined - Accent 3"/>
    <w:basedOn w:val="703"/>
    <w:uiPriority w:val="99"/>
    <w:rPr>
      <w:color w:val="404040"/>
      <w:lang w:eastAsia="ru-RU"/>
    </w:rPr>
    <w:tblPr/>
  </w:style>
  <w:style w:type="table" w:styleId="872" w:customStyle="1">
    <w:name w:val="Lined - Accent 4"/>
    <w:basedOn w:val="703"/>
    <w:uiPriority w:val="99"/>
    <w:rPr>
      <w:color w:val="404040"/>
      <w:lang w:eastAsia="ru-RU"/>
    </w:rPr>
    <w:tblPr/>
  </w:style>
  <w:style w:type="table" w:styleId="873" w:customStyle="1">
    <w:name w:val="Lined - Accent 5"/>
    <w:basedOn w:val="703"/>
    <w:uiPriority w:val="99"/>
    <w:rPr>
      <w:color w:val="404040"/>
      <w:lang w:eastAsia="ru-RU"/>
    </w:rPr>
    <w:tblPr/>
  </w:style>
  <w:style w:type="table" w:styleId="874" w:customStyle="1">
    <w:name w:val="Lined - Accent 6"/>
    <w:basedOn w:val="703"/>
    <w:uiPriority w:val="99"/>
    <w:rPr>
      <w:color w:val="404040"/>
      <w:lang w:eastAsia="ru-RU"/>
    </w:rPr>
    <w:tblPr/>
  </w:style>
  <w:style w:type="table" w:styleId="875" w:customStyle="1">
    <w:name w:val="Bordered &amp; Lined - Accent"/>
    <w:basedOn w:val="703"/>
    <w:uiPriority w:val="99"/>
    <w:rPr>
      <w:color w:val="404040"/>
      <w:lang w:eastAsia="ru-RU"/>
    </w:rPr>
    <w:tblPr/>
  </w:style>
  <w:style w:type="table" w:styleId="876" w:customStyle="1">
    <w:name w:val="Bordered &amp; Lined - Accent 1"/>
    <w:basedOn w:val="703"/>
    <w:uiPriority w:val="99"/>
    <w:rPr>
      <w:color w:val="404040"/>
      <w:lang w:eastAsia="ru-RU"/>
    </w:rPr>
    <w:tblPr/>
  </w:style>
  <w:style w:type="table" w:styleId="877" w:customStyle="1">
    <w:name w:val="Bordered &amp; Lined - Accent 2"/>
    <w:basedOn w:val="703"/>
    <w:uiPriority w:val="99"/>
    <w:rPr>
      <w:color w:val="404040"/>
      <w:lang w:eastAsia="ru-RU"/>
    </w:rPr>
    <w:tblPr/>
  </w:style>
  <w:style w:type="table" w:styleId="878" w:customStyle="1">
    <w:name w:val="Bordered &amp; Lined - Accent 3"/>
    <w:basedOn w:val="703"/>
    <w:uiPriority w:val="99"/>
    <w:rPr>
      <w:color w:val="404040"/>
      <w:lang w:eastAsia="ru-RU"/>
    </w:rPr>
    <w:tblPr/>
  </w:style>
  <w:style w:type="table" w:styleId="879" w:customStyle="1">
    <w:name w:val="Bordered &amp; Lined - Accent 4"/>
    <w:basedOn w:val="703"/>
    <w:uiPriority w:val="99"/>
    <w:rPr>
      <w:color w:val="404040"/>
      <w:lang w:eastAsia="ru-RU"/>
    </w:rPr>
    <w:tblPr/>
  </w:style>
  <w:style w:type="table" w:styleId="880" w:customStyle="1">
    <w:name w:val="Bordered &amp; Lined - Accent 5"/>
    <w:basedOn w:val="703"/>
    <w:uiPriority w:val="99"/>
    <w:rPr>
      <w:color w:val="404040"/>
      <w:lang w:eastAsia="ru-RU"/>
    </w:rPr>
    <w:tblPr/>
  </w:style>
  <w:style w:type="table" w:styleId="881" w:customStyle="1">
    <w:name w:val="Bordered &amp; Lined - Accent 6"/>
    <w:basedOn w:val="703"/>
    <w:uiPriority w:val="99"/>
    <w:rPr>
      <w:color w:val="404040"/>
      <w:lang w:eastAsia="ru-RU"/>
    </w:rPr>
    <w:tblPr/>
  </w:style>
  <w:style w:type="table" w:styleId="882" w:customStyle="1">
    <w:name w:val="Bordered"/>
    <w:basedOn w:val="703"/>
    <w:uiPriority w:val="99"/>
    <w:tblPr/>
  </w:style>
  <w:style w:type="table" w:styleId="883" w:customStyle="1">
    <w:name w:val="Bordered - Accent 1"/>
    <w:basedOn w:val="703"/>
    <w:uiPriority w:val="99"/>
    <w:tblPr/>
  </w:style>
  <w:style w:type="table" w:styleId="884" w:customStyle="1">
    <w:name w:val="Bordered - Accent 2"/>
    <w:basedOn w:val="703"/>
    <w:uiPriority w:val="99"/>
    <w:tblPr/>
  </w:style>
  <w:style w:type="table" w:styleId="885" w:customStyle="1">
    <w:name w:val="Bordered - Accent 3"/>
    <w:basedOn w:val="703"/>
    <w:uiPriority w:val="99"/>
    <w:tblPr/>
  </w:style>
  <w:style w:type="table" w:styleId="886" w:customStyle="1">
    <w:name w:val="Bordered - Accent 4"/>
    <w:basedOn w:val="703"/>
    <w:uiPriority w:val="99"/>
    <w:tblPr/>
  </w:style>
  <w:style w:type="table" w:styleId="887" w:customStyle="1">
    <w:name w:val="Bordered - Accent 5"/>
    <w:basedOn w:val="703"/>
    <w:uiPriority w:val="99"/>
    <w:tblPr/>
  </w:style>
  <w:style w:type="table" w:styleId="888" w:customStyle="1">
    <w:name w:val="Bordered - Accent 6"/>
    <w:basedOn w:val="703"/>
    <w:uiPriority w:val="99"/>
    <w:tblPr/>
  </w:style>
  <w:style w:type="character" w:styleId="889" w:customStyle="1">
    <w:name w:val="Текст сноски Знак"/>
    <w:link w:val="750"/>
    <w:uiPriority w:val="99"/>
    <w:rPr>
      <w:sz w:val="18"/>
    </w:rPr>
  </w:style>
  <w:style w:type="character" w:styleId="890" w:customStyle="1">
    <w:name w:val="Текст концевой сноски Знак"/>
    <w:link w:val="753"/>
    <w:uiPriority w:val="99"/>
    <w:rPr>
      <w:sz w:val="20"/>
    </w:rPr>
  </w:style>
  <w:style w:type="paragraph" w:styleId="891" w:customStyle="1">
    <w:name w:val="ГПО35"/>
    <w:pPr>
      <w:ind w:left="786" w:hanging="360"/>
      <w:spacing w:after="480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892">
    <w:name w:val="Balloon Text"/>
    <w:basedOn w:val="692"/>
    <w:link w:val="893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893" w:customStyle="1">
    <w:name w:val="Текст выноски Знак"/>
    <w:link w:val="892"/>
    <w:uiPriority w:val="99"/>
    <w:semiHidden/>
    <w:rPr>
      <w:rFonts w:ascii="Arial" w:hAnsi="Arial" w:cs="Arial"/>
      <w:sz w:val="18"/>
      <w:szCs w:val="18"/>
    </w:rPr>
  </w:style>
  <w:style w:type="table" w:styleId="894" w:customStyle="1">
    <w:name w:val="Сетка таблицы1"/>
    <w:basedOn w:val="703"/>
    <w:next w:val="729"/>
    <w:uiPriority w:val="59"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МРСК Юга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Алексей Юрьевич</dc:creator>
  <cp:lastModifiedBy>Kuleshovada</cp:lastModifiedBy>
  <cp:revision>21</cp:revision>
  <dcterms:created xsi:type="dcterms:W3CDTF">2025-03-20T06:32:00Z</dcterms:created>
  <dcterms:modified xsi:type="dcterms:W3CDTF">2026-03-31T07:20:50Z</dcterms:modified>
  <cp:version>1048576</cp:version>
</cp:coreProperties>
</file>